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Тип техники: </w:t>
      </w:r>
      <w:r w:rsidDel="00000000" w:rsidR="00000000" w:rsidRPr="00000000">
        <w:rPr>
          <w:rFonts w:ascii="Roboto Light" w:cs="Roboto Light" w:eastAsia="Roboto Light" w:hAnsi="Roboto Light"/>
          <w:color w:val="0e514d"/>
          <w:sz w:val="20"/>
          <w:szCs w:val="20"/>
          <w:rtl w:val="0"/>
        </w:rPr>
        <w:t xml:space="preserve">Экскаватор карьерный</w:t>
      </w:r>
    </w:p>
    <w:p w:rsidR="00000000" w:rsidDel="00000000" w:rsidP="00000000" w:rsidRDefault="00000000" w:rsidRPr="00000000" w14:paraId="00000002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Марка, модель: </w:t>
      </w:r>
      <w:r w:rsidDel="00000000" w:rsidR="00000000" w:rsidRPr="00000000">
        <w:rPr>
          <w:rFonts w:ascii="Roboto Light" w:cs="Roboto Light" w:eastAsia="Roboto Light" w:hAnsi="Roboto Light"/>
          <w:color w:val="0e514d"/>
          <w:sz w:val="20"/>
          <w:szCs w:val="20"/>
          <w:rtl w:val="0"/>
        </w:rPr>
        <w:t xml:space="preserve">Komatsu PC 1250 -11R</w:t>
      </w:r>
    </w:p>
    <w:p w:rsidR="00000000" w:rsidDel="00000000" w:rsidP="00000000" w:rsidRDefault="00000000" w:rsidRPr="00000000" w14:paraId="00000004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Основные технические характеристики:</w:t>
      </w:r>
    </w:p>
    <w:tbl>
      <w:tblPr>
        <w:tblStyle w:val="Table1"/>
        <w:tblW w:w="90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3"/>
        <w:gridCol w:w="3741"/>
        <w:gridCol w:w="2169"/>
        <w:gridCol w:w="226"/>
        <w:tblGridChange w:id="0">
          <w:tblGrid>
            <w:gridCol w:w="2883"/>
            <w:gridCol w:w="3741"/>
            <w:gridCol w:w="2169"/>
            <w:gridCol w:w="226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06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Система поворота платформы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Модель Komatsu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PC 1250 - 11R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Эксплуатационная масса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 обратной лопатой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116400 - 118900 кг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F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Рабочее оборудование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Объём ковша с обратной лопатой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3,40 - 7,10 м3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Длина стрелы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7800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Длина рукояти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3400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8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Двигатель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Мощность полная SAE J1995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578 кВт (786 л.с) при 1800 обр. мин.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Мощность полезная ISO 9249/SAE J1349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560 кВт (761 л.с) при 1800 обр. мин.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Номинальная частота вращения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1800 обр. мин.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Модель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Komatsu SAA6D170E-7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4-тактный, с водяным охлаждением и прямым впрыском топлива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 всасывания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 с турбонаддувом и последовательным охлаждением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цилиндров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Диаметр × ход поршня, мм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170 х 170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Рабочий объем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23,15 л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Регулятор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всережимный, электронный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 привода вентилятора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гидравлический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9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Приводы и тормоза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Рулевое управление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два рычага с педалями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 привода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полностью гидростатический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Гидромотор передвижения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аксиально-поршневой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Редуктор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планетарный, трехступенчатый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Преодолеваемый подъем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70%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Максимальная скорость передвижения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3,3 км/ч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Стояночный тормоз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гидравлический дисковый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E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Система поворота платформы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 привода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гидромотора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Редуктор поворота платформы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планетарная передача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Смазка поворотного круга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масляная ванна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Блокировка поворота платформы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гидравлический дисковый тормоз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Скорость поворота платформы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5,8 об. мин.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D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Гидравлическая система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гидравлическая система с открытым центром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рабочих режимов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Гидромоторы передвижения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аксиально-поршневых гидромотора со стояночным тормозом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гидромотор поворота платформы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аксиально-поршневых гидромотора с тормозом удержания платформы 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Главный насос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поршневые насосы переменной производительности 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Вспомогательный насос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Тип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шестеренный насос для контура управления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F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Гидроцилиндры: количество, диаметр </w:t>
            </w: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х</w:t>
            </w: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 ход поршня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Стрела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2 - 225 мм х 2390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Рукоять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1 - 250 мм х 2435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Ковш 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2 - 160 мм х 1950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8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Ходовая часть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Регулятор натяжения гусеницы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гидравлический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башмаков (с каждой стороны)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48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поддерживающих катков (с каждой стороны)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Количество опорных катков (с каждой стороны)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Ширина башмака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700 мм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Давление на грунт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151 кПа 1.54 кгс/см2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A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Габаритные размеры, мм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8B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/>
              <w:drawing>
                <wp:inline distB="0" distT="0" distL="0" distR="0">
                  <wp:extent cx="3589477" cy="1570320"/>
                  <wp:effectExtent b="0" l="0" r="0" t="0"/>
                  <wp:docPr id="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477" cy="15703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Габаритная высота А</w:t>
            </w:r>
          </w:p>
        </w:tc>
        <w:tc>
          <w:tcPr>
            <w:tcBorders>
              <w:top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6265 мм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Габаритная длинна В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14790 мм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8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Заправочные объемы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Топливный бак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1360 л.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Охлаждающая жидкость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134 л.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Система смазки двигателя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86 л.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Ходовой механизм (с каждой стороны)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21 л.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Привод поворота платформы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20 х 2 л.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Гидробак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670 л.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Механизм отбора мощности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13,5 л.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4">
            <w:pPr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b w:val="1"/>
                <w:color w:val="0e514d"/>
                <w:sz w:val="20"/>
                <w:szCs w:val="20"/>
                <w:rtl w:val="0"/>
              </w:rPr>
              <w:t xml:space="preserve">Параметры рабочей зоны 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высота резания грунта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13000 мм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высота разгрузки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8450 мм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глубина резания грунта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7900 мм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глубина вертикальной стенки котлована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5025 мм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глубина выемки грунта из котлована с плоским дном длиной 2 440 мм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7745 мм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радиус резания грунта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14070 мм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Макс. радиус резания грунта на уровне опоры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13670 мм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Мин. радиус поворота платформы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6415 мм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Усилие резания грунта ковшом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502 кН 51200 кг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Напорное усилие рукояти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395 кН 40300 кг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Усилие резания грунта ковшом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570 кН 58100 кг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Напорное усилие рукояти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Fonts w:ascii="Roboto Light" w:cs="Roboto Light" w:eastAsia="Roboto Light" w:hAnsi="Roboto Light"/>
                <w:color w:val="0e514d"/>
                <w:sz w:val="20"/>
                <w:szCs w:val="20"/>
                <w:rtl w:val="0"/>
              </w:rPr>
              <w:t xml:space="preserve">412 кН 42000 кг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 Light" w:cs="Roboto Light" w:eastAsia="Roboto Light" w:hAnsi="Roboto Light"/>
                <w:color w:val="0e51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Roboto Light" w:cs="Roboto Light" w:eastAsia="Roboto Light" w:hAnsi="Roboto Light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Стандартная комплектация:</w:t>
      </w:r>
    </w:p>
    <w:tbl>
      <w:tblPr>
        <w:tblStyle w:val="Table2"/>
        <w:tblW w:w="9029.0" w:type="dxa"/>
        <w:jc w:val="left"/>
        <w:tblLayout w:type="fixed"/>
        <w:tblLook w:val="0400"/>
      </w:tblPr>
      <w:tblGrid>
        <w:gridCol w:w="1182"/>
        <w:gridCol w:w="3407"/>
        <w:gridCol w:w="1140"/>
        <w:gridCol w:w="3300"/>
        <w:tblGridChange w:id="0">
          <w:tblGrid>
            <w:gridCol w:w="1182"/>
            <w:gridCol w:w="3407"/>
            <w:gridCol w:w="1140"/>
            <w:gridCol w:w="3300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29b8d" w:val="clear"/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Sales 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29b8d" w:val="clear"/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29b8d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Sales 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29b8d" w:val="clear"/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0"/>
                <w:szCs w:val="20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0AA02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FOR OVERSEAS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6RA03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WORKING LIGHT, FRONT, ADD (CAB)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1AA01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THE BODY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6RA05-L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FLASH LIGHT, COMBINATED WITH HORN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1ABWR001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OVERSEAS EGR LESS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6RA13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STEP LIGHT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2AA09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MAINTENANCE FREE BATT. LARGE CAPA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6RA19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TRAVEL ALARM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2AB09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ALTERNATOR - 90-AMPERE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6RA21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REARVIEW MIRROR, RIGHTHAND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2AC23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STARTER - 2 X 11.0KW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6RA26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KOMVISION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2AD54H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AIR/S+RECL+FAB+H/B+TIL+LUM/S+HEATER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6RA36A-A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BEACON LAMP, ISO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2RA01B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KOMATSU DIESEL ENGINE, TIER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6RA85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LIGHT EMITTING DIODE LAMPS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2RE01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HYDRAULICS - ELECTRONIC OLSS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6RB57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FRONT/GUARD, LEVEL 2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2R101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CAB MOUNT - STD HEIGHT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6RB58-D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TOP/GUARD, LEVEL 2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2RK23C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CAB FRONT WINDOW FIX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6RB86B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NON-CINCHING BELT 78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2RP04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TRACK ROLLER GUARDS - FULL LENGTH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6RD23B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A/C, HIGH CAPACITY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2RX28G70DA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SHOE ASSY DG HOLE GR 700MM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6RE15C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RADIO, AM/FM FOR ASIAN AREA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2ZX01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PAINTING - KOMATSU STD COLOR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6RE24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12V ELECTRIC POWER SUPPLY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2ZZ60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MARKS &amp; PLATES - PICTORIAL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6ZZ31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GENERAL TOOL KIT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4RA7800A-D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BOOM – 7800 MM SP LED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6RF71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AUTODECELERATOR SYSTEM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4RB3400A-G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ARM – 3400 MM SE/SP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6RH12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PROVISION FOR FAST FUEL FILL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4RF999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LESS BUCKET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6RH56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GREASE GUN, ELECTRIC PUMP TYPE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5AA08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HOT AREA ARRANGEMENT (+55C)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6RH62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CATWALK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5AB01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SANDY &amp; DUSTY AREA ARRANGEMENT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6RK01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FILLER CAP LOCK AND COVER LOCK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5AB09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HARD WATER AREA ARRANGEMENT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6RL28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COOLANT FILTER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5AB12B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POOR F. LARGE PREFILTER (WATER+DUST)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6RM51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TRACK FRAME UNDER COVER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5AC34A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DIESEL &amp; BIO DIESEL 0-30% USABLE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6RM54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WEAR GUARD FOR CRAWLER FRAME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6AH01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ANCHOR POINT FOR TIE OFFS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6RM59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REVOLVING FRAME UNDER COVERS, HD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6AY06B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MONITOR, COLOR MULTI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6ZWALL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ALL MATERIALS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6RA02-D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W/LIGHT, REAR, ADD; LED</w:t>
            </w:r>
          </w:p>
        </w:tc>
      </w:tr>
    </w:tbl>
    <w:p w:rsidR="00000000" w:rsidDel="00000000" w:rsidP="00000000" w:rsidRDefault="00000000" w:rsidRPr="00000000" w14:paraId="00000151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Fonts w:ascii="Roboto Light" w:cs="Roboto Light" w:eastAsia="Roboto Light" w:hAnsi="Roboto Light"/>
          <w:b w:val="1"/>
          <w:color w:val="0e514d"/>
          <w:sz w:val="20"/>
          <w:szCs w:val="20"/>
          <w:rtl w:val="0"/>
        </w:rPr>
        <w:t xml:space="preserve">Возможные дополнительные опции:</w:t>
      </w:r>
    </w:p>
    <w:p w:rsidR="00000000" w:rsidDel="00000000" w:rsidP="00000000" w:rsidRDefault="00000000" w:rsidRPr="00000000" w14:paraId="00000154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Арктические гидравлические рукава;</w:t>
      </w:r>
    </w:p>
    <w:p w:rsidR="00000000" w:rsidDel="00000000" w:rsidP="00000000" w:rsidRDefault="00000000" w:rsidRPr="00000000" w14:paraId="00000156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Технические жидкости для работы до -50С;</w:t>
      </w:r>
    </w:p>
    <w:p w:rsidR="00000000" w:rsidDel="00000000" w:rsidP="00000000" w:rsidRDefault="00000000" w:rsidRPr="00000000" w14:paraId="00000157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Подогреваемый топливный фильтр;</w:t>
      </w:r>
    </w:p>
    <w:p w:rsidR="00000000" w:rsidDel="00000000" w:rsidP="00000000" w:rsidRDefault="00000000" w:rsidRPr="00000000" w14:paraId="00000158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Подогрев аккумуляторных батарей;</w:t>
      </w:r>
    </w:p>
    <w:p w:rsidR="00000000" w:rsidDel="00000000" w:rsidP="00000000" w:rsidRDefault="00000000" w:rsidRPr="00000000" w14:paraId="00000159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Утепление моторного отсека (чехол);</w:t>
      </w:r>
    </w:p>
    <w:p w:rsidR="00000000" w:rsidDel="00000000" w:rsidP="00000000" w:rsidRDefault="00000000" w:rsidRPr="00000000" w14:paraId="0000015A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Полностью светодиодное освещение;</w:t>
      </w:r>
    </w:p>
    <w:p w:rsidR="00000000" w:rsidDel="00000000" w:rsidP="00000000" w:rsidRDefault="00000000" w:rsidRPr="00000000" w14:paraId="0000015B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Дополнительный фильтр очистки топлива типа Separ;</w:t>
      </w:r>
    </w:p>
    <w:p w:rsidR="00000000" w:rsidDel="00000000" w:rsidP="00000000" w:rsidRDefault="00000000" w:rsidRPr="00000000" w14:paraId="0000015C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Дополнительный пред-очиститель воздушного фильтра двигателя;</w:t>
      </w:r>
    </w:p>
    <w:p w:rsidR="00000000" w:rsidDel="00000000" w:rsidP="00000000" w:rsidRDefault="00000000" w:rsidRPr="00000000" w14:paraId="0000015D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Оснащение системой автоматической смазки;</w:t>
      </w:r>
    </w:p>
    <w:p w:rsidR="00000000" w:rsidDel="00000000" w:rsidP="00000000" w:rsidRDefault="00000000" w:rsidRPr="00000000" w14:paraId="0000015E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Система кругового видео обзора с монитором в кабине оператора, с возможностью записи данных;</w:t>
      </w:r>
    </w:p>
    <w:p w:rsidR="00000000" w:rsidDel="00000000" w:rsidP="00000000" w:rsidRDefault="00000000" w:rsidRPr="00000000" w14:paraId="0000015F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Видеокамера в кабине оператора;</w:t>
      </w:r>
    </w:p>
    <w:p w:rsidR="00000000" w:rsidDel="00000000" w:rsidP="00000000" w:rsidRDefault="00000000" w:rsidRPr="00000000" w14:paraId="00000160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Наличие светоотражающих полос на габаритах;</w:t>
      </w:r>
    </w:p>
    <w:p w:rsidR="00000000" w:rsidDel="00000000" w:rsidP="00000000" w:rsidRDefault="00000000" w:rsidRPr="00000000" w14:paraId="00000161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Обозначение потенциально травмоопасных мест цветом, специальными символами или наклейками;</w:t>
      </w:r>
    </w:p>
    <w:p w:rsidR="00000000" w:rsidDel="00000000" w:rsidP="00000000" w:rsidRDefault="00000000" w:rsidRPr="00000000" w14:paraId="00000162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Автоматическая система пожаротушения с возможностью ручного включения;</w:t>
      </w:r>
    </w:p>
    <w:p w:rsidR="00000000" w:rsidDel="00000000" w:rsidP="00000000" w:rsidRDefault="00000000" w:rsidRPr="00000000" w14:paraId="00000163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Ручные огнетушители с крепежными кронштейнами;</w:t>
      </w:r>
    </w:p>
    <w:p w:rsidR="00000000" w:rsidDel="00000000" w:rsidP="00000000" w:rsidRDefault="00000000" w:rsidRPr="00000000" w14:paraId="00000164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Автономный электрический подогрев блока ДВС, масляного поддона и гидросистемы от внешней сети 220 В;</w:t>
      </w:r>
    </w:p>
    <w:p w:rsidR="00000000" w:rsidDel="00000000" w:rsidP="00000000" w:rsidRDefault="00000000" w:rsidRPr="00000000" w14:paraId="00000165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Автономный жидкостный предпусковой подогреватель ДВС;</w:t>
      </w:r>
    </w:p>
    <w:p w:rsidR="00000000" w:rsidDel="00000000" w:rsidP="00000000" w:rsidRDefault="00000000" w:rsidRPr="00000000" w14:paraId="00000166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Дополнительный автономный отопитель кабины оператора и стеклообогреватель;</w:t>
      </w:r>
    </w:p>
    <w:p w:rsidR="00000000" w:rsidDel="00000000" w:rsidP="00000000" w:rsidRDefault="00000000" w:rsidRPr="00000000" w14:paraId="00000167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Система Red Zone;</w:t>
      </w:r>
    </w:p>
    <w:p w:rsidR="00000000" w:rsidDel="00000000" w:rsidP="00000000" w:rsidRDefault="00000000" w:rsidRPr="00000000" w14:paraId="00000168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Иной тип отвала (например, сферический, сверхусиленный и т. д.);</w:t>
      </w:r>
    </w:p>
    <w:p w:rsidR="00000000" w:rsidDel="00000000" w:rsidP="00000000" w:rsidRDefault="00000000" w:rsidRPr="00000000" w14:paraId="00000169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Fonts w:ascii="Roboto Light" w:cs="Roboto Light" w:eastAsia="Roboto Light" w:hAnsi="Roboto Light"/>
          <w:sz w:val="16"/>
          <w:szCs w:val="16"/>
          <w:rtl w:val="0"/>
        </w:rPr>
        <w:t xml:space="preserve">- Комплект ЗИП на необходимое количество моточасов;</w:t>
      </w:r>
    </w:p>
    <w:p w:rsidR="00000000" w:rsidDel="00000000" w:rsidP="00000000" w:rsidRDefault="00000000" w:rsidRPr="00000000" w14:paraId="0000016A">
      <w:pPr>
        <w:rPr>
          <w:rFonts w:ascii="Roboto Light" w:cs="Roboto Light" w:eastAsia="Roboto Light" w:hAnsi="Roboto Light"/>
          <w:b w:val="1"/>
          <w:color w:val="0e514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Roboto Light" w:cs="Roboto Light" w:eastAsia="Roboto Light" w:hAnsi="Roboto Light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107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1">
    <w:pPr>
      <w:rPr/>
    </w:pPr>
    <w:r w:rsidDel="00000000" w:rsidR="00000000" w:rsidRPr="00000000">
      <w:rPr/>
      <w:drawing>
        <wp:inline distB="114300" distT="114300" distL="114300" distR="114300">
          <wp:extent cx="5731200" cy="8382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" l="0" r="0" t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2">
    <w:pPr>
      <w:rPr>
        <w:rFonts w:ascii="Roboto Light" w:cs="Roboto Light" w:eastAsia="Roboto Light" w:hAnsi="Roboto Light"/>
        <w:color w:val="639a8d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3">
    <w:pPr>
      <w:rPr>
        <w:rFonts w:ascii="Roboto Light" w:cs="Roboto Light" w:eastAsia="Roboto Light" w:hAnsi="Roboto Light"/>
        <w:color w:val="639a8d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4">
    <w:pPr>
      <w:rPr>
        <w:rFonts w:ascii="Roboto Light" w:cs="Roboto Light" w:eastAsia="Roboto Light" w:hAnsi="Roboto Light"/>
        <w:color w:val="639a8d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5">
    <w:pPr>
      <w:rPr>
        <w:rFonts w:ascii="Roboto" w:cs="Roboto" w:eastAsia="Roboto" w:hAnsi="Roboto"/>
        <w:b w:val="1"/>
        <w:color w:val="639a8d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rPr/>
    </w:pPr>
    <w:r w:rsidDel="00000000" w:rsidR="00000000" w:rsidRPr="00000000">
      <w:rPr>
        <w:b w:val="1"/>
      </w:rPr>
      <w:drawing>
        <wp:inline distB="114300" distT="114300" distL="114300" distR="114300">
          <wp:extent cx="871538" cy="47312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header"/>
    <w:basedOn w:val="a"/>
    <w:link w:val="a6"/>
    <w:uiPriority w:val="99"/>
    <w:unhideWhenUsed w:val="1"/>
    <w:rsid w:val="002914CD"/>
    <w:pPr>
      <w:tabs>
        <w:tab w:val="center" w:pos="4677"/>
        <w:tab w:val="right" w:pos="9355"/>
      </w:tabs>
      <w:spacing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 w:val="1"/>
    <w:rsid w:val="002914CD"/>
    <w:pPr>
      <w:tabs>
        <w:tab w:val="center" w:pos="4677"/>
        <w:tab w:val="right" w:pos="9355"/>
      </w:tabs>
      <w:spacing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 w:val="1"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D714C1"/>
    <w:rPr>
      <w:color w:val="605e5c"/>
      <w:shd w:color="auto" w:fill="e1dfdd" w:val="clear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a"/>
    <w:rsid w:val="003310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normaltextrun" w:customStyle="1">
    <w:name w:val="normaltextrun"/>
    <w:basedOn w:val="a0"/>
    <w:rsid w:val="00331029"/>
  </w:style>
  <w:style w:type="character" w:styleId="eop" w:customStyle="1">
    <w:name w:val="eop"/>
    <w:basedOn w:val="a0"/>
    <w:rsid w:val="00331029"/>
  </w:style>
  <w:style w:type="paragraph" w:styleId="ac">
    <w:name w:val="List Paragraph"/>
    <w:basedOn w:val="a"/>
    <w:uiPriority w:val="34"/>
    <w:qFormat w:val="1"/>
    <w:rsid w:val="008C3E36"/>
    <w:pPr>
      <w:ind w:left="720"/>
      <w:contextualSpacing w:val="1"/>
    </w:pPr>
  </w:style>
  <w:style w:type="character" w:styleId="ui-provider" w:customStyle="1">
    <w:name w:val="ui-provider"/>
    <w:basedOn w:val="a0"/>
    <w:rsid w:val="0058392B"/>
  </w:style>
  <w:style w:type="paragraph" w:styleId="TableParagraph" w:customStyle="1">
    <w:name w:val="Table Paragraph"/>
    <w:basedOn w:val="a"/>
    <w:uiPriority w:val="1"/>
    <w:qFormat w:val="1"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cs="Times New Roman" w:eastAsia="Times New Roman" w:hAnsi="Times New Roman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fP4fMj4s/+PAV2oDtrF7/VEMpw==">CgMxLjA4AHIhMWFjU05Uc1FWM1dfcXJyUGxTeVFVLU5yQ1daOXZ2OFZ5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2024-09-11T06:08:00Z</dcterms:created>
  <dc:creator>Kristina Bykova</dc:creator>
</cp:coreProperties>
</file>