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Тип техники: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Экскаватор карьерный</w:t>
      </w:r>
    </w:p>
    <w:p w:rsidR="00000000" w:rsidDel="00000000" w:rsidP="00000000" w:rsidRDefault="00000000" w:rsidRPr="00000000" w14:paraId="00000002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Марка, модель: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Komatsu PC 2000 - 11R</w:t>
      </w:r>
    </w:p>
    <w:p w:rsidR="00000000" w:rsidDel="00000000" w:rsidP="00000000" w:rsidRDefault="00000000" w:rsidRPr="00000000" w14:paraId="00000004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Основные технические характеристики:</w:t>
      </w:r>
    </w:p>
    <w:tbl>
      <w:tblPr>
        <w:tblStyle w:val="Table1"/>
        <w:tblW w:w="8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488"/>
        <w:gridCol w:w="2174"/>
        <w:tblGridChange w:id="0">
          <w:tblGrid>
            <w:gridCol w:w="3135"/>
            <w:gridCol w:w="3488"/>
            <w:gridCol w:w="217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Модель Komatsu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PC 2000 - 11R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Эксплуатационная масса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 обратной лопатой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201 400 кг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Рабочее оборудование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Объём ковша с обратной лопатой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12 m3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стрелы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8700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рукояти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3900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Двигатель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полная SAE J1995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794 кВт (1060 л.с)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полезная ISO 9249/SAE J1349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780 кВт (1050)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Номинальная частота вращения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1 800 об.мин.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Модель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SAA12V140E-7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4-тактный, с водяным охлаждением и прямым впрыском топлива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всасывания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 с турбонаддувом и последовательным охлаждением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цилиндров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Диаметр × ход поршня, мм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140х165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Рабочий объем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30,48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всережимный, электронный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 вентилятора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Приводы и тормоза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Рулевое управление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два рычага с педалями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полностью гидростатический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передвижения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аксиально-поршневой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планетарный, трехступенчатый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Преодолеваемый подъем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66%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Максимальная скорость передвижения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2,7 км/ч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Стояночный тормоз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E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гидромотора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 поворота платформы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планетарная передача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Смазка поворотного круга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масляная ванна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Блокировка поворота платформы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 тормоз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Скорость поворота платформы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4,8 об. мин.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Гидравлическая система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гидравлическая система с открытым центром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рабочих режимов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Гидромоторы передвижения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со стояночным тормозом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поворота платформы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 тормозом удержания платформы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Главный насос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поршневые насосы переменной производительности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Вспомогательный насос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шестеренный насос для контура управления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Гидроцилиндры: количество, диаметр </w:t>
            </w: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</w:t>
            </w: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 ход поршня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Стрела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2 - 300 мм х 2647 мм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Рукоять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2 - 300 мм х 2134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Ковш 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2 - 300 мм х 2170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Ходовая часть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 натяжения гусеницы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башмаков (с каждой стороны)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49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поддерживающих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опорных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Ширина башмака с двойным грунтозацепом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810 мм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Давление на грунт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191.2 кПа 1.95 кгс/см2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A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Габаритные размеры, мм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/>
              <w:drawing>
                <wp:inline distB="0" distT="0" distL="0" distR="0">
                  <wp:extent cx="3274457" cy="1421594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457" cy="14215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0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Заправочные объемы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Топливный бак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3400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Охлаждающая жидкость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190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Система смазки двигателя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128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Ходовой механизм (с каждой стороны)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85 л.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Привод поворота платформы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30 х 2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Гидробак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1300 л.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Механизм отбора мощности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40 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Параметры рабочей зоны 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резания грунта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13390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разгрузки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8640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резания грунта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9245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вертикальной стенки котлована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2765 мм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выемки грунта из котлована с плоским дном длиной 2 440 мм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9125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15780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 на уровне опоры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15305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Мин. радиус поворота платформы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7500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626 кН 63800 кг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586 кН 59700 кг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697 кН 71100 кг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598 кН 61000 кг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Стандартная комплектация:</w:t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096"/>
        <w:gridCol w:w="1440"/>
        <w:gridCol w:w="3070"/>
        <w:tblGridChange w:id="0">
          <w:tblGrid>
            <w:gridCol w:w="1413"/>
            <w:gridCol w:w="3096"/>
            <w:gridCol w:w="1440"/>
            <w:gridCol w:w="3070"/>
          </w:tblGrid>
        </w:tblGridChange>
      </w:tblGrid>
      <w:tr>
        <w:trPr>
          <w:cantSplit w:val="0"/>
          <w:tblHeader w:val="0"/>
        </w:trPr>
        <w:tc>
          <w:tcPr>
            <w:shd w:fill="639a8d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  <w:rtl w:val="0"/>
              </w:rPr>
              <w:t xml:space="preserve">Sales Code</w:t>
            </w:r>
          </w:p>
        </w:tc>
        <w:tc>
          <w:tcPr>
            <w:shd w:fill="639a8d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639a8d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  <w:rtl w:val="0"/>
              </w:rPr>
              <w:t xml:space="preserve">Sales Code</w:t>
            </w:r>
          </w:p>
        </w:tc>
        <w:tc>
          <w:tcPr>
            <w:shd w:fill="639a8d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0АА02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FOR OVERSEAS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6RA25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REAR MONITOR CAMERA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1АА01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ТНЕ BODY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6RA26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KOMVISION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1ABWR001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OVERSEAS EGR LESS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6RA36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WARNING LIGHT, AMBER COLOR BEACON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2АА09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MAINTENANCE FREE ВАТТ. LARGE САРА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6RA79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ADDTIONAL FUSE TARMINALS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2АВ24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AL TERNA TOR - 2 Х 90А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6RA85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LIGHT EMIТТING DIODE LAMPS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2АС23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STARTER -2X 11.0KW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6RB11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FOPS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2AD27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DELUXE SEAT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6RB51A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САВ FRONТ FULL GUARD - NET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2RA01B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KOMATSU DIESEL ENGINE, TIER 2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6RB86B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NON-CINCHING BEL Т 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2RD03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SEMI-WRIST CONTROL LEVER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6RB89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SEAT BEL Т FOR PASSENGER SEAT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2RE01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HYDRAULICS - ELECTRONIC OLSS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6RD21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AIR CONDIТIONER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2RG02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TRAVEL MOTORS - KOMATSU MADE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6RE15C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RADIO, AM/FM FOR ASIAN AREA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2RK07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САВ RH &amp; REAR FIXED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6RЕЗ1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FLOOR МАТ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2RP04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TRACK ROLLER GUARDS - FULL LENGTH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6RF71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AUTODECELERATOR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2RX31G81DB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SHOE ASSY, 810MM, D0UBLE GROUS, HOLED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6RF86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24 HOUR OPERAТING FUEL TANK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2ZX01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PAINTING - KOMATSU STD COLOR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6RH12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PROVISION FOR FAST FUEL FILL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2ZZ60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MARKS &amp; PLATES - PICTORIAL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6RH55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РМ SERVICE CONNECTOR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4RA8700C-B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ВМ 8700 01 ОН ОН SE LED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6RH57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AUTO GREASING SYSTEM -LINCOLN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4RВ3900В-С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АМ 3900 010Н ОН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6RH62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CATWALK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4RF1200KSA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11.0/12.0 КР S АО Е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6RH64B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HYDRAULIC STAIRS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4RG21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FLOAT PIN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6RH68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SERVICE CENТER WITH E. VALVE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5АА08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НОТ AREA ARRANGEMENT (+55С)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6RH86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ВАТТЕRУ ISOLATOR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5АВ01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SANDY &amp; DUSTY AREA ARRANGEMENT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6RH87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JAMP START RECEPTACLE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5АВ09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HARD WATER AREA ARRANGEMENT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6RH88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ADDITIONAL EMERGENCY SWITCH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5АВ12В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POOR F, LARGE PREFILTER (WATER+DUST)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6RН9З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EMERGENCY ESCAPE DEVICE 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5АС34А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DIESEL&amp;BIO DIESEL 0-30% USABLE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6RK01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FILLER САР LOCK AND COVER LOCK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6АН01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ANCHOR POINT FOR ТIЕ OFFS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6RL28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COOLANТ FIL 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6RA02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WORKING LIGHT, REAR, ADD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6RL37A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PRECLEANER, ENGINAIRE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6RA02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WORKING LIGHT, REAR, ADD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6RM51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TRACK FRAME UNDER COVER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6RA19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TRAVEL ALARM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6RM72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IDLER WITH HEAVY DUТY BUSHING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6RA21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REARVIEW MIRROR, RIGHTHAND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6ZWALL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ALL MATERIALS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7RC99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SEPARATE PACKING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6ZZ31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GENERAL TOOL 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Возможные дополнительные опции:</w:t>
      </w:r>
    </w:p>
    <w:p w:rsidR="00000000" w:rsidDel="00000000" w:rsidP="00000000" w:rsidRDefault="00000000" w:rsidRPr="00000000" w14:paraId="00000150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Арктические гидравлические рукава;</w:t>
      </w:r>
    </w:p>
    <w:p w:rsidR="00000000" w:rsidDel="00000000" w:rsidP="00000000" w:rsidRDefault="00000000" w:rsidRPr="00000000" w14:paraId="00000152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Технические жидкости для работы до -50С;</w:t>
      </w:r>
    </w:p>
    <w:p w:rsidR="00000000" w:rsidDel="00000000" w:rsidP="00000000" w:rsidRDefault="00000000" w:rsidRPr="00000000" w14:paraId="00000153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Подогреваемый топливный фильтр;</w:t>
      </w:r>
    </w:p>
    <w:p w:rsidR="00000000" w:rsidDel="00000000" w:rsidP="00000000" w:rsidRDefault="00000000" w:rsidRPr="00000000" w14:paraId="00000154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 аккумуляторных батарей;</w:t>
      </w:r>
    </w:p>
    <w:p w:rsidR="00000000" w:rsidDel="00000000" w:rsidP="00000000" w:rsidRDefault="00000000" w:rsidRPr="00000000" w14:paraId="00000155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Утепление моторного отсека (чехол);</w:t>
      </w:r>
    </w:p>
    <w:p w:rsidR="00000000" w:rsidDel="00000000" w:rsidP="00000000" w:rsidRDefault="00000000" w:rsidRPr="00000000" w14:paraId="00000156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Полностью светодиодное освещение;</w:t>
      </w:r>
    </w:p>
    <w:p w:rsidR="00000000" w:rsidDel="00000000" w:rsidP="00000000" w:rsidRDefault="00000000" w:rsidRPr="00000000" w14:paraId="00000157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фильтр очистки топлива типа Separ;</w:t>
      </w:r>
    </w:p>
    <w:p w:rsidR="00000000" w:rsidDel="00000000" w:rsidP="00000000" w:rsidRDefault="00000000" w:rsidRPr="00000000" w14:paraId="00000158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пред-очиститель воздушного фильтра двигателя;</w:t>
      </w:r>
    </w:p>
    <w:p w:rsidR="00000000" w:rsidDel="00000000" w:rsidP="00000000" w:rsidRDefault="00000000" w:rsidRPr="00000000" w14:paraId="00000159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Оснащение системой автоматической смазки;</w:t>
      </w:r>
    </w:p>
    <w:p w:rsidR="00000000" w:rsidDel="00000000" w:rsidP="00000000" w:rsidRDefault="00000000" w:rsidRPr="00000000" w14:paraId="0000015A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кругового видео обзора с монитором в кабине оператора, с возможностью записи данных;</w:t>
      </w:r>
    </w:p>
    <w:p w:rsidR="00000000" w:rsidDel="00000000" w:rsidP="00000000" w:rsidRDefault="00000000" w:rsidRPr="00000000" w14:paraId="0000015B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Видеокамера в кабине оператора;</w:t>
      </w:r>
    </w:p>
    <w:p w:rsidR="00000000" w:rsidDel="00000000" w:rsidP="00000000" w:rsidRDefault="00000000" w:rsidRPr="00000000" w14:paraId="0000015C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Наличие светоотражающих полос на габаритах;</w:t>
      </w:r>
    </w:p>
    <w:p w:rsidR="00000000" w:rsidDel="00000000" w:rsidP="00000000" w:rsidRDefault="00000000" w:rsidRPr="00000000" w14:paraId="0000015D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Обозначение потенциально травмоопасных мест цветом, специальными символами или наклейками;</w:t>
      </w:r>
    </w:p>
    <w:p w:rsidR="00000000" w:rsidDel="00000000" w:rsidP="00000000" w:rsidRDefault="00000000" w:rsidRPr="00000000" w14:paraId="0000015E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Автоматическая система пожаротушения с возможностью ручного включения;</w:t>
      </w:r>
    </w:p>
    <w:p w:rsidR="00000000" w:rsidDel="00000000" w:rsidP="00000000" w:rsidRDefault="00000000" w:rsidRPr="00000000" w14:paraId="0000015F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Ручные огнетушители с крепежными кронштейнами;</w:t>
      </w:r>
    </w:p>
    <w:p w:rsidR="00000000" w:rsidDel="00000000" w:rsidP="00000000" w:rsidRDefault="00000000" w:rsidRPr="00000000" w14:paraId="00000160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электрический подогрев блока ДВС, масляного поддона и гидросистемы от внешней сети 220 В;</w:t>
      </w:r>
    </w:p>
    <w:p w:rsidR="00000000" w:rsidDel="00000000" w:rsidP="00000000" w:rsidRDefault="00000000" w:rsidRPr="00000000" w14:paraId="00000161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жидкостный предпусковой подогреватель ДВС;</w:t>
      </w:r>
    </w:p>
    <w:p w:rsidR="00000000" w:rsidDel="00000000" w:rsidP="00000000" w:rsidRDefault="00000000" w:rsidRPr="00000000" w14:paraId="00000162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автономный отопитель кабины оператора и стеклообогреватель;</w:t>
      </w:r>
    </w:p>
    <w:p w:rsidR="00000000" w:rsidDel="00000000" w:rsidP="00000000" w:rsidRDefault="00000000" w:rsidRPr="00000000" w14:paraId="00000163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Red Zone;</w:t>
      </w:r>
    </w:p>
    <w:p w:rsidR="00000000" w:rsidDel="00000000" w:rsidP="00000000" w:rsidRDefault="00000000" w:rsidRPr="00000000" w14:paraId="00000164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Иной тип отвала (например, сферический, сверхусиленный и т. д.);</w:t>
      </w:r>
    </w:p>
    <w:p w:rsidR="00000000" w:rsidDel="00000000" w:rsidP="00000000" w:rsidRDefault="00000000" w:rsidRPr="00000000" w14:paraId="00000165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Комплект ЗИП на необходимое количество моточасов;</w:t>
      </w:r>
    </w:p>
    <w:p w:rsidR="00000000" w:rsidDel="00000000" w:rsidP="00000000" w:rsidRDefault="00000000" w:rsidRPr="00000000" w14:paraId="00000166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10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3" l="0" r="0" t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rPr>
        <w:rFonts w:ascii="Roboto" w:cs="Roboto" w:eastAsia="Roboto" w:hAnsi="Roboto"/>
        <w:b w:val="1"/>
        <w:color w:val="639a8d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rPr/>
    </w:pPr>
    <w:r w:rsidDel="00000000" w:rsidR="00000000" w:rsidRPr="00000000">
      <w:rPr>
        <w:b w:val="1"/>
      </w:rPr>
      <w:drawing>
        <wp:inline distB="114300" distT="114300" distL="114300" distR="114300">
          <wp:extent cx="871538" cy="47312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 w:val="1"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D714C1"/>
    <w:rPr>
      <w:color w:val="605e5c"/>
      <w:shd w:color="auto" w:fill="e1dfdd" w:val="clear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a"/>
    <w:rsid w:val="003310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normaltextrun" w:customStyle="1">
    <w:name w:val="normaltextrun"/>
    <w:basedOn w:val="a0"/>
    <w:rsid w:val="00331029"/>
  </w:style>
  <w:style w:type="character" w:styleId="eop" w:customStyle="1">
    <w:name w:val="eop"/>
    <w:basedOn w:val="a0"/>
    <w:rsid w:val="00331029"/>
  </w:style>
  <w:style w:type="paragraph" w:styleId="ac">
    <w:name w:val="List Paragraph"/>
    <w:basedOn w:val="a"/>
    <w:uiPriority w:val="34"/>
    <w:qFormat w:val="1"/>
    <w:rsid w:val="008C3E36"/>
    <w:pPr>
      <w:ind w:left="720"/>
      <w:contextualSpacing w:val="1"/>
    </w:pPr>
  </w:style>
  <w:style w:type="character" w:styleId="ui-provider" w:customStyle="1">
    <w:name w:val="ui-provider"/>
    <w:basedOn w:val="a0"/>
    <w:rsid w:val="0058392B"/>
  </w:style>
  <w:style w:type="paragraph" w:styleId="TableParagraph" w:customStyle="1">
    <w:name w:val="Table Paragraph"/>
    <w:basedOn w:val="a"/>
    <w:uiPriority w:val="1"/>
    <w:qFormat w:val="1"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cs="Times New Roman" w:eastAsia="Times New Roman" w:hAnsi="Times New Roman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GQms9srRoXj1zZVXYdVB4nVJw==">CgMxLjA4AHIhMU5MUXpUVFpOT3BRRl80Y3o2SjM4aTVXRHBMUU5nTHBf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2024-09-11T06:03:00Z</dcterms:created>
  <dc:creator>Kristina Bykova</dc:creator>
</cp:coreProperties>
</file>